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A714" w14:textId="77777777" w:rsidR="00C17B65" w:rsidRPr="00C17B65" w:rsidRDefault="00C17B65" w:rsidP="00C17B65">
      <w:pPr>
        <w:shd w:val="clear" w:color="auto" w:fill="FFFFFF"/>
        <w:spacing w:after="600" w:line="240" w:lineRule="auto"/>
        <w:outlineLvl w:val="2"/>
        <w:rPr>
          <w:rFonts w:ascii="Helvetica" w:eastAsia="Times New Roman" w:hAnsi="Helvetica" w:cs="Times New Roman"/>
          <w:color w:val="1C2024"/>
          <w:sz w:val="38"/>
          <w:szCs w:val="38"/>
          <w:lang w:eastAsia="it-IT"/>
        </w:rPr>
      </w:pPr>
      <w:r w:rsidRPr="00C17B65">
        <w:rPr>
          <w:rFonts w:ascii="Helvetica" w:eastAsia="Times New Roman" w:hAnsi="Helvetica" w:cs="Times New Roman"/>
          <w:color w:val="1C2024"/>
          <w:sz w:val="38"/>
          <w:szCs w:val="38"/>
          <w:lang w:eastAsia="it-IT"/>
        </w:rPr>
        <w:t>Responsabilità genitoriale</w:t>
      </w:r>
    </w:p>
    <w:p w14:paraId="64988407" w14:textId="77777777" w:rsidR="00C17B65" w:rsidRPr="006327FC" w:rsidRDefault="006327FC" w:rsidP="006327FC">
      <w:pPr>
        <w:spacing w:after="0" w:line="240" w:lineRule="auto"/>
        <w:rPr>
          <w:rFonts w:ascii="Times New Roman" w:eastAsia="Times New Roman" w:hAnsi="Times New Roman" w:cs="Times New Roman"/>
          <w:sz w:val="24"/>
          <w:szCs w:val="24"/>
          <w:lang w:eastAsia="it-IT"/>
        </w:rPr>
      </w:pPr>
      <w:r>
        <w:rPr>
          <w:rFonts w:ascii="Titillium Web" w:eastAsia="Times New Roman" w:hAnsi="Titillium Web" w:cs="Times New Roman"/>
          <w:color w:val="333333"/>
          <w:sz w:val="27"/>
          <w:szCs w:val="27"/>
          <w:shd w:val="clear" w:color="auto" w:fill="FFFFFF"/>
          <w:lang w:eastAsia="it-IT"/>
        </w:rPr>
        <w:t>​​​​​</w:t>
      </w:r>
      <w:r w:rsidRPr="00C17B65">
        <w:rPr>
          <w:rFonts w:ascii="Titillium Web" w:eastAsia="Times New Roman" w:hAnsi="Titillium Web" w:cs="Times New Roman"/>
          <w:color w:val="333333"/>
          <w:sz w:val="27"/>
          <w:szCs w:val="27"/>
          <w:lang w:eastAsia="it-IT"/>
        </w:rPr>
        <w:t xml:space="preserve"> </w:t>
      </w:r>
      <w:r>
        <w:rPr>
          <w:rFonts w:ascii="Titillium Web" w:eastAsia="Times New Roman" w:hAnsi="Titillium Web" w:cs="Times New Roman"/>
          <w:color w:val="333333"/>
          <w:sz w:val="27"/>
          <w:szCs w:val="27"/>
          <w:lang w:eastAsia="it-IT"/>
        </w:rPr>
        <w:t>I</w:t>
      </w:r>
      <w:r w:rsidR="00C17B65" w:rsidRPr="00C17B65">
        <w:rPr>
          <w:rFonts w:ascii="Titillium Web" w:eastAsia="Times New Roman" w:hAnsi="Titillium Web" w:cs="Times New Roman"/>
          <w:color w:val="333333"/>
          <w:sz w:val="27"/>
          <w:szCs w:val="27"/>
          <w:lang w:eastAsia="it-IT"/>
        </w:rPr>
        <w:t>l </w:t>
      </w:r>
      <w:hyperlink r:id="rId5" w:history="1">
        <w:r w:rsidR="00C17B65" w:rsidRPr="00C17B65">
          <w:rPr>
            <w:rFonts w:ascii="Titillium Web" w:eastAsia="Times New Roman" w:hAnsi="Titillium Web" w:cs="Times New Roman"/>
            <w:color w:val="0066CC"/>
            <w:sz w:val="27"/>
            <w:szCs w:val="27"/>
            <w:lang w:eastAsia="it-IT"/>
          </w:rPr>
          <w:t>decreto legislativo del 28 dicembre 2013, n. 154</w:t>
        </w:r>
      </w:hyperlink>
      <w:r w:rsidR="00C17B65" w:rsidRPr="00C17B65">
        <w:rPr>
          <w:rFonts w:ascii="Titillium Web" w:eastAsia="Times New Roman" w:hAnsi="Titillium Web" w:cs="Times New Roman"/>
          <w:color w:val="333333"/>
          <w:sz w:val="27"/>
          <w:szCs w:val="27"/>
          <w:lang w:eastAsia="it-IT"/>
        </w:rPr>
        <w:t>, che all'art. 39 dispone quanto segue:</w:t>
      </w:r>
      <w:r w:rsidR="00C17B65" w:rsidRPr="00C17B65">
        <w:rPr>
          <w:rFonts w:ascii="Titillium Web" w:eastAsia="Times New Roman" w:hAnsi="Titillium Web" w:cs="Times New Roman"/>
          <w:color w:val="333333"/>
          <w:sz w:val="27"/>
          <w:szCs w:val="27"/>
          <w:lang w:eastAsia="it-IT"/>
        </w:rPr>
        <w:br/>
      </w:r>
      <w:r w:rsidR="00C17B65" w:rsidRPr="00C17B65">
        <w:rPr>
          <w:rFonts w:ascii="Titillium Web" w:eastAsia="Times New Roman" w:hAnsi="Titillium Web" w:cs="Times New Roman"/>
          <w:color w:val="333333"/>
          <w:sz w:val="27"/>
          <w:szCs w:val="27"/>
          <w:lang w:eastAsia="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00C17B65" w:rsidRPr="00C17B65">
        <w:rPr>
          <w:rFonts w:ascii="Titillium Web" w:eastAsia="Times New Roman" w:hAnsi="Titillium Web" w:cs="Times New Roman"/>
          <w:color w:val="333333"/>
          <w:sz w:val="27"/>
          <w:szCs w:val="27"/>
          <w:lang w:eastAsia="it-IT"/>
        </w:rPr>
        <w:br/>
        <w:t>In caso di contrasto su questioni di particolare importanza ciascuno dei genitori può ricorrere senza formalità al giudice indicando i provvedimenti che ritiene più idonei.</w:t>
      </w:r>
      <w:r w:rsidR="00C17B65" w:rsidRPr="00C17B65">
        <w:rPr>
          <w:rFonts w:ascii="Titillium Web" w:eastAsia="Times New Roman" w:hAnsi="Titillium Web" w:cs="Times New Roman"/>
          <w:color w:val="333333"/>
          <w:sz w:val="27"/>
          <w:szCs w:val="27"/>
          <w:lang w:eastAsia="it-IT"/>
        </w:rPr>
        <w:br/>
      </w:r>
      <w:r w:rsidR="00C17B65" w:rsidRPr="00C17B65">
        <w:rPr>
          <w:rFonts w:ascii="Titillium Web" w:eastAsia="Times New Roman" w:hAnsi="Titillium Web" w:cs="Times New Roman"/>
          <w:color w:val="333333"/>
          <w:sz w:val="27"/>
          <w:szCs w:val="27"/>
          <w:lang w:eastAsia="it-IT"/>
        </w:rPr>
        <w:br/>
        <w:t>Il giudice, sentiti i genitori e disposto l'ascolto del figlio minore che abbia compiuto gli anni dodici e anche di età inferiore ove capace di discernimento, suggerisce le determinazioni che ritiene più utili nell'interesse del figlio e dell'unità familiare. Se il contrasto permane il giudice attribuisce il potere di decisione a quello dei genitori che, nel singolo caso, ritiene il più idoneo a curare l'interesse del figlio. Il genitore che ha riconosciuto il figlio esercita la responsabilità genitoriale su di lui. Se il riconoscimento del figlio, nato fuori del matrimonio, è fatto dai genitori, l'esercizio della responsabilità g</w:t>
      </w:r>
      <w:r>
        <w:rPr>
          <w:rFonts w:ascii="Titillium Web" w:eastAsia="Times New Roman" w:hAnsi="Titillium Web" w:cs="Times New Roman"/>
          <w:color w:val="333333"/>
          <w:sz w:val="27"/>
          <w:szCs w:val="27"/>
          <w:lang w:eastAsia="it-IT"/>
        </w:rPr>
        <w:t xml:space="preserve">enitoriale spetta ad </w:t>
      </w:r>
      <w:proofErr w:type="spellStart"/>
      <w:r>
        <w:rPr>
          <w:rFonts w:ascii="Titillium Web" w:eastAsia="Times New Roman" w:hAnsi="Titillium Web" w:cs="Times New Roman"/>
          <w:color w:val="333333"/>
          <w:sz w:val="27"/>
          <w:szCs w:val="27"/>
          <w:lang w:eastAsia="it-IT"/>
        </w:rPr>
        <w:t>entrambi.</w:t>
      </w:r>
      <w:r w:rsidR="00C17B65" w:rsidRPr="00C17B65">
        <w:rPr>
          <w:rFonts w:ascii="Titillium Web" w:eastAsia="Times New Roman" w:hAnsi="Titillium Web" w:cs="Times New Roman"/>
          <w:color w:val="333333"/>
          <w:sz w:val="27"/>
          <w:szCs w:val="27"/>
          <w:lang w:eastAsia="it-IT"/>
        </w:rPr>
        <w:t>Il</w:t>
      </w:r>
      <w:proofErr w:type="spellEnd"/>
      <w:r w:rsidR="00C17B65" w:rsidRPr="00C17B65">
        <w:rPr>
          <w:rFonts w:ascii="Titillium Web" w:eastAsia="Times New Roman" w:hAnsi="Titillium Web" w:cs="Times New Roman"/>
          <w:color w:val="333333"/>
          <w:sz w:val="27"/>
          <w:szCs w:val="27"/>
          <w:lang w:eastAsia="it-IT"/>
        </w:rPr>
        <w:t xml:space="preserve"> genitore che non esercita la responsabilità genitoriale vigila sull'istruzione, sull'educazione e sulle condizioni di vita del figlio".</w:t>
      </w:r>
      <w:r w:rsidR="00C17B65" w:rsidRPr="00C17B65">
        <w:rPr>
          <w:rFonts w:ascii="Titillium Web" w:eastAsia="Times New Roman" w:hAnsi="Titillium Web" w:cs="Times New Roman"/>
          <w:color w:val="333333"/>
          <w:sz w:val="27"/>
          <w:szCs w:val="27"/>
          <w:lang w:eastAsia="it-IT"/>
        </w:rPr>
        <w:br/>
      </w:r>
      <w:r w:rsidR="00C17B65" w:rsidRPr="00C17B65">
        <w:rPr>
          <w:rFonts w:ascii="Titillium Web" w:eastAsia="Times New Roman" w:hAnsi="Titillium Web" w:cs="Times New Roman"/>
          <w:color w:val="333333"/>
          <w:sz w:val="27"/>
          <w:szCs w:val="27"/>
          <w:lang w:eastAsia="it-IT"/>
        </w:rPr>
        <w:br/>
        <w:t xml:space="preserve">Pertanto, in caso di iscrizione a scuola, la scelta </w:t>
      </w:r>
      <w:r w:rsidRPr="00C17B65">
        <w:rPr>
          <w:rFonts w:ascii="Titillium Web" w:eastAsia="Times New Roman" w:hAnsi="Titillium Web" w:cs="Times New Roman"/>
          <w:color w:val="333333"/>
          <w:sz w:val="27"/>
          <w:szCs w:val="27"/>
          <w:lang w:eastAsia="it-IT"/>
        </w:rPr>
        <w:t xml:space="preserve">rientrando nella cosiddetta "Responsabilità genitoriale", </w:t>
      </w:r>
      <w:r w:rsidR="00C17B65" w:rsidRPr="00C17B65">
        <w:rPr>
          <w:rFonts w:ascii="Titillium Web" w:eastAsia="Times New Roman" w:hAnsi="Titillium Web" w:cs="Times New Roman"/>
          <w:color w:val="333333"/>
          <w:sz w:val="27"/>
          <w:szCs w:val="27"/>
          <w:lang w:eastAsia="it-IT"/>
        </w:rPr>
        <w:t xml:space="preserve">deve essere sempre condivisa da entrambi i genitori, indipendentemente dalla situazione di separazione e divorzio e a prescindere dalla tipologia di affidamento. </w:t>
      </w:r>
      <w:proofErr w:type="gramStart"/>
      <w:r w:rsidR="00C17B65" w:rsidRPr="00C17B65">
        <w:rPr>
          <w:rFonts w:ascii="Titillium Web" w:eastAsia="Times New Roman" w:hAnsi="Titillium Web" w:cs="Times New Roman"/>
          <w:color w:val="333333"/>
          <w:sz w:val="27"/>
          <w:szCs w:val="27"/>
          <w:lang w:eastAsia="it-IT"/>
        </w:rPr>
        <w:t>E'</w:t>
      </w:r>
      <w:proofErr w:type="gramEnd"/>
      <w:r w:rsidR="00C17B65" w:rsidRPr="00C17B65">
        <w:rPr>
          <w:rFonts w:ascii="Titillium Web" w:eastAsia="Times New Roman" w:hAnsi="Titillium Web" w:cs="Times New Roman"/>
          <w:color w:val="333333"/>
          <w:sz w:val="27"/>
          <w:szCs w:val="27"/>
          <w:lang w:eastAsia="it-IT"/>
        </w:rPr>
        <w:t xml:space="preserve"> dunque richiesto al genitore che compila la domanda, di dichiarare di aver effettuato la scelta con il consenso dell'altro genitore. </w:t>
      </w:r>
    </w:p>
    <w:p w14:paraId="4A0DF19C" w14:textId="77777777" w:rsidR="006327FC" w:rsidRDefault="006327FC" w:rsidP="006327FC">
      <w:pPr>
        <w:autoSpaceDE w:val="0"/>
        <w:autoSpaceDN w:val="0"/>
        <w:adjustRightInd w:val="0"/>
        <w:spacing w:after="0" w:line="240" w:lineRule="auto"/>
        <w:rPr>
          <w:rFonts w:ascii="Times New Roman" w:eastAsia="Times New Roman" w:hAnsi="Times New Roman" w:cs="Times New Roman"/>
          <w:b/>
          <w:sz w:val="24"/>
          <w:szCs w:val="20"/>
          <w:lang w:eastAsia="it-IT"/>
        </w:rPr>
      </w:pPr>
    </w:p>
    <w:p w14:paraId="175197ED" w14:textId="77777777" w:rsidR="006327FC" w:rsidRDefault="006327FC" w:rsidP="006327FC">
      <w:pPr>
        <w:autoSpaceDE w:val="0"/>
        <w:autoSpaceDN w:val="0"/>
        <w:adjustRightInd w:val="0"/>
        <w:spacing w:after="0" w:line="240" w:lineRule="auto"/>
        <w:rPr>
          <w:rFonts w:ascii="Times New Roman" w:eastAsia="Times New Roman" w:hAnsi="Times New Roman" w:cs="Times New Roman"/>
          <w:b/>
          <w:sz w:val="24"/>
          <w:szCs w:val="20"/>
          <w:lang w:eastAsia="it-IT"/>
        </w:rPr>
      </w:pPr>
    </w:p>
    <w:p w14:paraId="303E2E60" w14:textId="77777777" w:rsidR="006327FC" w:rsidRPr="006327FC" w:rsidRDefault="006327FC" w:rsidP="006327FC">
      <w:pPr>
        <w:autoSpaceDE w:val="0"/>
        <w:autoSpaceDN w:val="0"/>
        <w:adjustRightInd w:val="0"/>
        <w:spacing w:after="0" w:line="240" w:lineRule="auto"/>
        <w:rPr>
          <w:rFonts w:ascii="Times New Roman" w:eastAsia="Times New Roman" w:hAnsi="Times New Roman" w:cs="Times New Roman"/>
          <w:b/>
          <w:sz w:val="24"/>
          <w:szCs w:val="20"/>
          <w:lang w:eastAsia="it-IT"/>
        </w:rPr>
      </w:pPr>
      <w:r w:rsidRPr="006327FC">
        <w:rPr>
          <w:rFonts w:ascii="Times New Roman" w:eastAsia="Times New Roman" w:hAnsi="Times New Roman" w:cs="Times New Roman"/>
          <w:b/>
          <w:sz w:val="24"/>
          <w:szCs w:val="20"/>
          <w:lang w:eastAsia="it-IT"/>
        </w:rPr>
        <w:t xml:space="preserve">INFORMATIVA SUL TRATTAMENTO </w:t>
      </w:r>
      <w:proofErr w:type="gramStart"/>
      <w:r w:rsidRPr="006327FC">
        <w:rPr>
          <w:rFonts w:ascii="Times New Roman" w:eastAsia="Times New Roman" w:hAnsi="Times New Roman" w:cs="Times New Roman"/>
          <w:b/>
          <w:sz w:val="24"/>
          <w:szCs w:val="20"/>
          <w:lang w:eastAsia="it-IT"/>
        </w:rPr>
        <w:t>DEI  DATI</w:t>
      </w:r>
      <w:proofErr w:type="gramEnd"/>
      <w:r w:rsidRPr="006327FC">
        <w:rPr>
          <w:rFonts w:ascii="Times New Roman" w:eastAsia="Times New Roman" w:hAnsi="Times New Roman" w:cs="Times New Roman"/>
          <w:b/>
          <w:sz w:val="24"/>
          <w:szCs w:val="20"/>
          <w:lang w:eastAsia="it-IT"/>
        </w:rPr>
        <w:t xml:space="preserve">  PERSONALI.</w:t>
      </w:r>
    </w:p>
    <w:p w14:paraId="5C85D318" w14:textId="77777777" w:rsidR="006327FC" w:rsidRDefault="006327FC" w:rsidP="006327FC">
      <w:pPr>
        <w:autoSpaceDE w:val="0"/>
        <w:autoSpaceDN w:val="0"/>
        <w:adjustRightInd w:val="0"/>
        <w:spacing w:after="0" w:line="240" w:lineRule="auto"/>
        <w:rPr>
          <w:rFonts w:ascii="Times New Roman" w:eastAsia="Times New Roman" w:hAnsi="Times New Roman" w:cs="Times New Roman"/>
          <w:sz w:val="24"/>
          <w:szCs w:val="20"/>
          <w:lang w:eastAsia="it-IT"/>
        </w:rPr>
      </w:pPr>
    </w:p>
    <w:p w14:paraId="15001EBB" w14:textId="77777777" w:rsidR="006327FC" w:rsidRPr="006327FC" w:rsidRDefault="006327FC" w:rsidP="006327FC">
      <w:pPr>
        <w:autoSpaceDE w:val="0"/>
        <w:autoSpaceDN w:val="0"/>
        <w:adjustRightInd w:val="0"/>
        <w:spacing w:after="0" w:line="240" w:lineRule="auto"/>
        <w:rPr>
          <w:rFonts w:ascii="Times New Roman" w:eastAsia="Times New Roman" w:hAnsi="Times New Roman" w:cs="Times New Roman"/>
          <w:sz w:val="24"/>
          <w:szCs w:val="20"/>
          <w:lang w:eastAsia="it-IT"/>
        </w:rPr>
      </w:pPr>
      <w:r w:rsidRPr="006327FC">
        <w:rPr>
          <w:rFonts w:ascii="Times New Roman" w:eastAsia="Times New Roman" w:hAnsi="Times New Roman" w:cs="Times New Roman"/>
          <w:sz w:val="24"/>
          <w:szCs w:val="20"/>
          <w:lang w:eastAsia="it-IT"/>
        </w:rPr>
        <w:t>I dati personali della vostra famiglia saranno trattati dall’istituto esclusivamente per l’esercizio delle sue funzioni ed in conformità alle disposizioni della normativa vigente, secondo quanto indicato nell’informativa alle famiglie pubblicata sul sito WEB dell’Istituto al seguente link:</w:t>
      </w:r>
    </w:p>
    <w:p w14:paraId="40A7ABB3" w14:textId="77777777" w:rsidR="006327FC" w:rsidRPr="006327FC" w:rsidRDefault="006327FC" w:rsidP="006327FC">
      <w:pPr>
        <w:autoSpaceDE w:val="0"/>
        <w:autoSpaceDN w:val="0"/>
        <w:adjustRightInd w:val="0"/>
        <w:spacing w:after="0" w:line="240" w:lineRule="auto"/>
        <w:rPr>
          <w:rFonts w:ascii="Times New Roman" w:eastAsia="Times New Roman" w:hAnsi="Times New Roman" w:cs="Times New Roman"/>
          <w:b/>
          <w:sz w:val="24"/>
          <w:szCs w:val="20"/>
          <w:lang w:eastAsia="it-IT"/>
        </w:rPr>
      </w:pPr>
    </w:p>
    <w:p w14:paraId="7B72BB9B" w14:textId="77777777" w:rsidR="006327FC" w:rsidRPr="006327FC" w:rsidRDefault="00445A41" w:rsidP="006327FC">
      <w:pPr>
        <w:autoSpaceDE w:val="0"/>
        <w:autoSpaceDN w:val="0"/>
        <w:adjustRightInd w:val="0"/>
        <w:spacing w:after="0" w:line="240" w:lineRule="auto"/>
        <w:rPr>
          <w:rFonts w:ascii="Times New Roman" w:eastAsia="Times New Roman" w:hAnsi="Times New Roman" w:cs="Times New Roman"/>
          <w:b/>
          <w:sz w:val="24"/>
          <w:szCs w:val="20"/>
          <w:lang w:eastAsia="it-IT"/>
        </w:rPr>
      </w:pPr>
      <w:hyperlink r:id="rId6" w:history="1">
        <w:r w:rsidR="006327FC" w:rsidRPr="006327FC">
          <w:rPr>
            <w:rFonts w:ascii="Times New Roman" w:eastAsia="Times New Roman" w:hAnsi="Times New Roman" w:cs="Times New Roman"/>
            <w:b/>
            <w:color w:val="0000FF"/>
            <w:sz w:val="24"/>
            <w:szCs w:val="20"/>
            <w:u w:val="single"/>
            <w:lang w:eastAsia="it-IT"/>
          </w:rPr>
          <w:t>https://netcrm.netsenseweb.com/scuola/privacy/netsense/rgic81300p</w:t>
        </w:r>
      </w:hyperlink>
    </w:p>
    <w:p w14:paraId="7B941161" w14:textId="77777777" w:rsidR="008B4E0D" w:rsidRDefault="008B4E0D"/>
    <w:sectPr w:rsidR="008B4E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E77AE"/>
    <w:multiLevelType w:val="hybridMultilevel"/>
    <w:tmpl w:val="3DD2F79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65"/>
    <w:rsid w:val="00445A41"/>
    <w:rsid w:val="006327FC"/>
    <w:rsid w:val="008B4E0D"/>
    <w:rsid w:val="00A80911"/>
    <w:rsid w:val="00AF7BD2"/>
    <w:rsid w:val="00C17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56A8"/>
  <w15:docId w15:val="{A76F2A5A-AF06-4F18-AFF6-CBF140F3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crm.netsenseweb.com/scuola/privacy/netsense/rgic81300p" TargetMode="External"/><Relationship Id="rId5" Type="http://schemas.openxmlformats.org/officeDocument/2006/relationships/hyperlink" Target="http://www.gazzettaufficiale.it/eli/id/2014/01/08/14G00001/s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rgic81300p@istruzione.gov.it</cp:lastModifiedBy>
  <cp:revision>2</cp:revision>
  <cp:lastPrinted>2021-01-04T07:43:00Z</cp:lastPrinted>
  <dcterms:created xsi:type="dcterms:W3CDTF">2024-01-08T09:38:00Z</dcterms:created>
  <dcterms:modified xsi:type="dcterms:W3CDTF">2024-01-08T09:38:00Z</dcterms:modified>
</cp:coreProperties>
</file>